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20" w:rsidRPr="002B3310" w:rsidRDefault="00B528FF" w:rsidP="002B3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Close Reading Assignment</w:t>
      </w:r>
    </w:p>
    <w:p w:rsidR="00B528FF" w:rsidRPr="002B3310" w:rsidRDefault="00B528FF" w:rsidP="002B3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10">
        <w:rPr>
          <w:rFonts w:ascii="Times New Roman" w:hAnsi="Times New Roman" w:cs="Times New Roman"/>
          <w:b/>
          <w:sz w:val="24"/>
          <w:szCs w:val="24"/>
        </w:rPr>
        <w:t>Monday, September 21, 2015</w:t>
      </w:r>
    </w:p>
    <w:p w:rsidR="00B528FF" w:rsidRPr="00A57974" w:rsidRDefault="00B528FF" w:rsidP="002B33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7974">
        <w:rPr>
          <w:rFonts w:ascii="Times New Roman" w:hAnsi="Times New Roman" w:cs="Times New Roman"/>
          <w:sz w:val="24"/>
          <w:szCs w:val="24"/>
        </w:rPr>
        <w:t>Read Hamlet’s first soliloquy:</w:t>
      </w:r>
    </w:p>
    <w:p w:rsidR="002B3310" w:rsidRDefault="002B3310" w:rsidP="002B3310">
      <w:pPr>
        <w:pStyle w:val="ListParagraph"/>
        <w:spacing w:after="0"/>
      </w:pPr>
    </w:p>
    <w:p w:rsidR="00B528FF" w:rsidRDefault="00B528FF" w:rsidP="002B33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O, that this too </w:t>
      </w:r>
      <w:proofErr w:type="spell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too</w:t>
      </w:r>
      <w:proofErr w:type="spell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solid flesh would melt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Thaw and resolve itself into </w:t>
      </w:r>
      <w:proofErr w:type="gram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a dew</w:t>
      </w:r>
      <w:proofErr w:type="gram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that the Everlasting had not </w:t>
      </w:r>
      <w:proofErr w:type="spellStart"/>
      <w:proofErr w:type="gram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fix’d</w:t>
      </w:r>
      <w:proofErr w:type="spellEnd"/>
      <w:proofErr w:type="gramEnd"/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His canon ‘</w:t>
      </w:r>
      <w:proofErr w:type="spell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gainst</w:t>
      </w:r>
      <w:proofErr w:type="spell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self-slaughter! O God! God!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How weary, stale, flat and unprofitable</w:t>
      </w:r>
      <w:proofErr w:type="gram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Seem to me all the uses of this world!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Fie </w:t>
      </w:r>
      <w:proofErr w:type="spell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on’t</w:t>
      </w:r>
      <w:proofErr w:type="spell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ah</w:t>
      </w:r>
      <w:proofErr w:type="gram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fie! ’</w:t>
      </w:r>
      <w:proofErr w:type="gram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tis</w:t>
      </w:r>
      <w:proofErr w:type="gram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unweeded</w:t>
      </w:r>
      <w:proofErr w:type="spell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garden,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That grows to seed; things rank and gross in nature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Possess it merely. That it should come to this!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But two months dead: nay, not so much, not two: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So excellent a king; that was, to this,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Hyperion to a satyr; so loving to my mother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he might not </w:t>
      </w:r>
      <w:proofErr w:type="spell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beteem</w:t>
      </w:r>
      <w:proofErr w:type="spell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winds of heaven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Visit her face too roughly. Heaven and earth!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Must I remember? why, she would hang on him,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As if increase of appetite had grown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By what it fed on: and yet, within a month–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Let me not think </w:t>
      </w:r>
      <w:proofErr w:type="spell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on’t</w:t>
      </w:r>
      <w:proofErr w:type="spell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–Frailty, thy name is woman!–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A little month, or ere those shoes were old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which she </w:t>
      </w:r>
      <w:proofErr w:type="spell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follow’d</w:t>
      </w:r>
      <w:proofErr w:type="spell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 poor father’s body,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Like Niobe, all tears:–why she, even she–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O, God! a beast, that wants discourse of reason,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Would have </w:t>
      </w:r>
      <w:proofErr w:type="spell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mourn’d</w:t>
      </w:r>
      <w:proofErr w:type="spell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longer–married with my uncle,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My father’s brother, but no more like my father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Than I to Hercules: within a month: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Ere yet the salt of most unrighteous tears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Had left the flushing in her galled eyes,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She married. O, most wicked speed, to post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such dexterity to incestuous sheets!</w:t>
      </w:r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It is not nor it cannot come to good</w:t>
      </w:r>
      <w:proofErr w:type="gramStart"/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B528FF">
        <w:rPr>
          <w:rFonts w:ascii="Times New Roman" w:hAnsi="Times New Roman" w:cs="Times New Roman"/>
          <w:sz w:val="24"/>
          <w:szCs w:val="24"/>
        </w:rPr>
        <w:br/>
      </w:r>
      <w:r w:rsidRPr="00B528FF">
        <w:rPr>
          <w:rFonts w:ascii="Times New Roman" w:hAnsi="Times New Roman" w:cs="Times New Roman"/>
          <w:sz w:val="24"/>
          <w:szCs w:val="24"/>
          <w:shd w:val="clear" w:color="auto" w:fill="FFFFFF"/>
        </w:rPr>
        <w:t>But break, my heart; for I must hold my tongue.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(1.2. 129-159)</w:t>
      </w:r>
    </w:p>
    <w:p w:rsidR="009E0F2E" w:rsidRDefault="009E0F2E" w:rsidP="002B33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E0F2E" w:rsidRDefault="009E0F2E" w:rsidP="002B331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28FF" w:rsidRPr="002B3310" w:rsidRDefault="00B528FF" w:rsidP="002B33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310">
        <w:rPr>
          <w:rFonts w:ascii="Times New Roman" w:hAnsi="Times New Roman" w:cs="Times New Roman"/>
          <w:sz w:val="24"/>
          <w:szCs w:val="24"/>
        </w:rPr>
        <w:t xml:space="preserve">Do a close reading of this passage (please refer to Dr. </w:t>
      </w:r>
      <w:proofErr w:type="spellStart"/>
      <w:r w:rsidRPr="002B3310">
        <w:rPr>
          <w:rFonts w:ascii="Times New Roman" w:hAnsi="Times New Roman" w:cs="Times New Roman"/>
          <w:sz w:val="24"/>
          <w:szCs w:val="24"/>
        </w:rPr>
        <w:t>McClennen’s</w:t>
      </w:r>
      <w:proofErr w:type="spellEnd"/>
      <w:r w:rsidRPr="002B3310">
        <w:rPr>
          <w:rFonts w:ascii="Times New Roman" w:hAnsi="Times New Roman" w:cs="Times New Roman"/>
          <w:sz w:val="24"/>
          <w:szCs w:val="24"/>
        </w:rPr>
        <w:t xml:space="preserve"> close reading guide, “How to do a Cl</w:t>
      </w:r>
      <w:bookmarkStart w:id="0" w:name="_GoBack"/>
      <w:bookmarkEnd w:id="0"/>
      <w:r w:rsidRPr="002B3310">
        <w:rPr>
          <w:rFonts w:ascii="Times New Roman" w:hAnsi="Times New Roman" w:cs="Times New Roman"/>
          <w:sz w:val="24"/>
          <w:szCs w:val="24"/>
        </w:rPr>
        <w:t>ose Reading”).</w:t>
      </w:r>
      <w:r w:rsidR="009E0F2E" w:rsidRPr="002B3310">
        <w:rPr>
          <w:rFonts w:ascii="Times New Roman" w:hAnsi="Times New Roman" w:cs="Times New Roman"/>
          <w:sz w:val="24"/>
          <w:szCs w:val="24"/>
        </w:rPr>
        <w:t xml:space="preserve"> You will do the close reading directly on the page as well as on a separate piece of loose-leaf both to be handed in for marks. </w:t>
      </w:r>
    </w:p>
    <w:p w:rsidR="009E0F2E" w:rsidRDefault="009E0F2E" w:rsidP="009E0F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1980"/>
        <w:gridCol w:w="1800"/>
        <w:gridCol w:w="1800"/>
        <w:gridCol w:w="1440"/>
        <w:gridCol w:w="810"/>
      </w:tblGrid>
      <w:tr w:rsidR="002B3310" w:rsidRPr="002B3310" w:rsidTr="00A57974">
        <w:tc>
          <w:tcPr>
            <w:tcW w:w="162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Cs w:val="24"/>
              </w:rPr>
            </w:pPr>
            <w:r w:rsidRPr="002B331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Cs w:val="24"/>
              </w:rPr>
            </w:pPr>
            <w:r w:rsidRPr="002B331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0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Cs w:val="24"/>
              </w:rPr>
            </w:pPr>
            <w:r w:rsidRPr="002B331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0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Cs w:val="24"/>
              </w:rPr>
            </w:pPr>
            <w:r w:rsidRPr="002B331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4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Cs w:val="24"/>
              </w:rPr>
            </w:pPr>
            <w:r w:rsidRPr="002B331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Cs w:val="24"/>
              </w:rPr>
            </w:pPr>
            <w:r w:rsidRPr="002B331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B3310" w:rsidRPr="002B3310" w:rsidTr="00A57974">
        <w:tc>
          <w:tcPr>
            <w:tcW w:w="162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sz w:val="20"/>
                <w:szCs w:val="20"/>
              </w:rPr>
              <w:t>Annotations</w:t>
            </w:r>
          </w:p>
        </w:tc>
        <w:tc>
          <w:tcPr>
            <w:tcW w:w="189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Text has been thoroughly annotated with questions, observations, and reflections of the content as well as the writing; variety of topics marked for discussion; variety of stylistic devices (poetic, literary, etc.) are correctly identified AND draws a connection between devices and thematic meaning.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Text has been annotated with questions, observations, and reflections of the content as well as the writing; variety of topics marked for discussion; variety of stylistic devices (poetic, literary, etc.) are correctly identified BUT may not draw an accurate connection between devices and thematic meaning.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Text has been annotated with questions, observations, and reflections of the content as well as the writing; variety of topics marked for discussion; stylistic devices (poetic, literary, etc.) are correctly identified AND show understanding of purpose but fails to establish a connection to meaning.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Text has been annotated with questions, observations, and reflections of the content as well as the writing; topic(s) are marked for discussion; </w:t>
            </w:r>
            <w:r w:rsidR="002B3310"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only basic stylistic devices (poetic, literary, etc.) are identified BUT do</w:t>
            </w: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not show understanding of purpose AND no connection between devices and thematic meaning is present.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40" w:type="dxa"/>
          </w:tcPr>
          <w:p w:rsidR="009E0F2E" w:rsidRPr="002B3310" w:rsidRDefault="002B3310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Text has been infrequently annotated with questions OR observations, BUT lacks reflections. NO topic(s) are marked for discussion; only basic stylistic devices (poetic, literary, etc.) are identified with no follow up.</w:t>
            </w:r>
          </w:p>
        </w:tc>
        <w:tc>
          <w:tcPr>
            <w:tcW w:w="810" w:type="dxa"/>
          </w:tcPr>
          <w:p w:rsidR="009E0F2E" w:rsidRPr="002B3310" w:rsidRDefault="002B3310" w:rsidP="002B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NHI</w:t>
            </w:r>
          </w:p>
        </w:tc>
      </w:tr>
      <w:tr w:rsidR="002B3310" w:rsidRPr="002B3310" w:rsidTr="00A57974">
        <w:tc>
          <w:tcPr>
            <w:tcW w:w="162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sz w:val="20"/>
                <w:szCs w:val="20"/>
              </w:rPr>
              <w:t>In-Line Comments</w:t>
            </w:r>
          </w:p>
        </w:tc>
        <w:tc>
          <w:tcPr>
            <w:tcW w:w="189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Comments demonstrate analysis and interpretation – thinking beyond the surface level of the text. Thoughtful connections made to other texts, life experiences.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198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Comments attempt an analysis and interpretation beyond the surface level of the text. Connections are made to other texts, life experiences.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180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Comments attempt an analysis and interpretation beyond the surface level of the text BUT may be incorrect AND/OR connections are made to other texts, life experience BUT lack sophistication.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1800" w:type="dxa"/>
          </w:tcPr>
          <w:p w:rsidR="009E0F2E" w:rsidRPr="002B3310" w:rsidRDefault="002B3310" w:rsidP="002B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Comments address only the surface level of the text AND/OR connections are incorrect.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1440" w:type="dxa"/>
          </w:tcPr>
          <w:p w:rsidR="009E0F2E" w:rsidRPr="002B3310" w:rsidRDefault="002B3310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Comments are infrequent AND address only the surface level of the text AND/OR connections are infrequent AND/OR incorrect.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810" w:type="dxa"/>
          </w:tcPr>
          <w:p w:rsidR="009E0F2E" w:rsidRPr="002B3310" w:rsidRDefault="002B3310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NHI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</w:tr>
      <w:tr w:rsidR="002B3310" w:rsidRPr="002B3310" w:rsidTr="00A57974">
        <w:tc>
          <w:tcPr>
            <w:tcW w:w="162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sz w:val="20"/>
                <w:szCs w:val="20"/>
              </w:rPr>
              <w:t>Marginal Comments</w:t>
            </w:r>
          </w:p>
        </w:tc>
        <w:tc>
          <w:tcPr>
            <w:tcW w:w="189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Marginal comments accomplish a great variety of purposes.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Marginal comments accomplish a few key purposes.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Marginal comments are present but lack a diversity of purposes.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9E0F2E" w:rsidRPr="002B3310" w:rsidRDefault="002B3310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Marginal comments are present but serve no function toward analysis.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40" w:type="dxa"/>
          </w:tcPr>
          <w:p w:rsidR="009E0F2E" w:rsidRPr="002B3310" w:rsidRDefault="002B3310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Marginal comments are present BUT too infrequent to demonstrate understanding.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10" w:type="dxa"/>
          </w:tcPr>
          <w:p w:rsidR="009E0F2E" w:rsidRPr="002B3310" w:rsidRDefault="002B3310" w:rsidP="002B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NHI</w:t>
            </w:r>
          </w:p>
        </w:tc>
      </w:tr>
      <w:tr w:rsidR="002B3310" w:rsidRPr="002B3310" w:rsidTr="00A57974">
        <w:tc>
          <w:tcPr>
            <w:tcW w:w="162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sz w:val="20"/>
                <w:szCs w:val="20"/>
              </w:rPr>
              <w:t>Consistency</w:t>
            </w:r>
          </w:p>
        </w:tc>
        <w:tc>
          <w:tcPr>
            <w:tcW w:w="189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Consistent markings throughout text (not bunched).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198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Inconsistent markings throughout text (appear to be bunched due to ease-of-annotation OR reliance on finding repeats of previously identified elements).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1800" w:type="dxa"/>
          </w:tcPr>
          <w:p w:rsidR="009E0F2E" w:rsidRPr="002B3310" w:rsidRDefault="009E0F2E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0F2E" w:rsidRPr="002B3310" w:rsidRDefault="002B3310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Sporadic markings throughout text (indicating the entire text was not read for annotation).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  <w:tc>
          <w:tcPr>
            <w:tcW w:w="810" w:type="dxa"/>
          </w:tcPr>
          <w:p w:rsidR="009E0F2E" w:rsidRPr="002B3310" w:rsidRDefault="002B3310" w:rsidP="009E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NHI</w:t>
            </w:r>
            <w:r w:rsidRPr="002B33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 </w:t>
            </w:r>
          </w:p>
        </w:tc>
      </w:tr>
    </w:tbl>
    <w:p w:rsidR="009E0F2E" w:rsidRPr="009E0F2E" w:rsidRDefault="009E0F2E" w:rsidP="009E0F2E">
      <w:pPr>
        <w:rPr>
          <w:rFonts w:ascii="Times New Roman" w:hAnsi="Times New Roman" w:cs="Times New Roman"/>
          <w:sz w:val="24"/>
          <w:szCs w:val="24"/>
        </w:rPr>
      </w:pPr>
    </w:p>
    <w:sectPr w:rsidR="009E0F2E" w:rsidRPr="009E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79F"/>
    <w:multiLevelType w:val="hybridMultilevel"/>
    <w:tmpl w:val="B4186F9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99C"/>
    <w:multiLevelType w:val="hybridMultilevel"/>
    <w:tmpl w:val="62E2F9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FF"/>
    <w:rsid w:val="000D1C99"/>
    <w:rsid w:val="002B3310"/>
    <w:rsid w:val="004A6FEB"/>
    <w:rsid w:val="009E0F2E"/>
    <w:rsid w:val="00A57974"/>
    <w:rsid w:val="00B528FF"/>
    <w:rsid w:val="00B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FF"/>
    <w:pPr>
      <w:ind w:left="720"/>
      <w:contextualSpacing/>
    </w:pPr>
  </w:style>
  <w:style w:type="table" w:styleId="TableGrid">
    <w:name w:val="Table Grid"/>
    <w:basedOn w:val="TableNormal"/>
    <w:uiPriority w:val="59"/>
    <w:rsid w:val="009E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FF"/>
    <w:pPr>
      <w:ind w:left="720"/>
      <w:contextualSpacing/>
    </w:pPr>
  </w:style>
  <w:style w:type="table" w:styleId="TableGrid">
    <w:name w:val="Table Grid"/>
    <w:basedOn w:val="TableNormal"/>
    <w:uiPriority w:val="59"/>
    <w:rsid w:val="009E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Flasch</dc:creator>
  <cp:lastModifiedBy>Dillon Flasch</cp:lastModifiedBy>
  <cp:revision>3</cp:revision>
  <dcterms:created xsi:type="dcterms:W3CDTF">2015-09-17T17:35:00Z</dcterms:created>
  <dcterms:modified xsi:type="dcterms:W3CDTF">2015-09-17T18:02:00Z</dcterms:modified>
</cp:coreProperties>
</file>